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CF29" w14:textId="77777777" w:rsidR="002D550C" w:rsidRPr="005D6B73" w:rsidRDefault="002D550C" w:rsidP="00973973">
      <w:pPr>
        <w:pStyle w:val="Normlnweb"/>
        <w:spacing w:before="0" w:beforeAutospacing="0" w:after="0" w:afterAutospacing="0" w:line="360" w:lineRule="auto"/>
        <w:rPr>
          <w:b/>
          <w:color w:val="000000"/>
        </w:rPr>
      </w:pPr>
      <w:r w:rsidRPr="005D6B73">
        <w:rPr>
          <w:b/>
          <w:color w:val="000000"/>
        </w:rPr>
        <w:t xml:space="preserve">Rozšiřující okruhy státní závěrečné zkoušky </w:t>
      </w:r>
      <w:r w:rsidR="000632BA" w:rsidRPr="005D6B73">
        <w:rPr>
          <w:b/>
          <w:color w:val="000000"/>
        </w:rPr>
        <w:t xml:space="preserve">pro </w:t>
      </w:r>
      <w:r w:rsidRPr="005D6B73">
        <w:rPr>
          <w:b/>
          <w:color w:val="000000"/>
        </w:rPr>
        <w:t>specializac</w:t>
      </w:r>
      <w:r w:rsidR="000632BA" w:rsidRPr="005D6B73">
        <w:rPr>
          <w:b/>
          <w:color w:val="000000"/>
        </w:rPr>
        <w:t>i</w:t>
      </w:r>
      <w:r w:rsidRPr="005D6B73">
        <w:rPr>
          <w:b/>
          <w:color w:val="000000"/>
        </w:rPr>
        <w:t xml:space="preserve"> </w:t>
      </w:r>
      <w:r w:rsidR="000632BA" w:rsidRPr="005D6B73">
        <w:rPr>
          <w:b/>
          <w:color w:val="000000"/>
        </w:rPr>
        <w:t>V</w:t>
      </w:r>
      <w:r w:rsidRPr="005D6B73">
        <w:rPr>
          <w:b/>
          <w:color w:val="000000"/>
        </w:rPr>
        <w:t xml:space="preserve">olební studia a politický </w:t>
      </w:r>
      <w:r w:rsidR="000632BA" w:rsidRPr="005D6B73">
        <w:rPr>
          <w:b/>
          <w:color w:val="000000"/>
        </w:rPr>
        <w:t>marketing</w:t>
      </w:r>
      <w:r w:rsidRPr="005D6B73">
        <w:rPr>
          <w:b/>
          <w:color w:val="000000"/>
        </w:rPr>
        <w:t xml:space="preserve"> </w:t>
      </w:r>
    </w:p>
    <w:p w14:paraId="36CB3601" w14:textId="77777777" w:rsidR="002D550C" w:rsidRPr="005D6B73" w:rsidRDefault="002D550C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</w:p>
    <w:p w14:paraId="2CE3A399" w14:textId="77777777" w:rsidR="001A6F73" w:rsidRPr="005D6B73" w:rsidRDefault="002D550C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5D6B73">
        <w:rPr>
          <w:color w:val="000000"/>
        </w:rPr>
        <w:t xml:space="preserve">1. </w:t>
      </w:r>
      <w:r w:rsidR="001A6F73" w:rsidRPr="005D6B73">
        <w:rPr>
          <w:color w:val="000000"/>
        </w:rPr>
        <w:t xml:space="preserve">Volební systémy (Chytilek et al. 2009, </w:t>
      </w:r>
      <w:proofErr w:type="spellStart"/>
      <w:r w:rsidR="001A6F73" w:rsidRPr="005D6B73">
        <w:rPr>
          <w:color w:val="000000"/>
        </w:rPr>
        <w:t>Shugart</w:t>
      </w:r>
      <w:proofErr w:type="spellEnd"/>
      <w:r w:rsidR="001A6F73" w:rsidRPr="005D6B73">
        <w:rPr>
          <w:color w:val="000000"/>
        </w:rPr>
        <w:t xml:space="preserve"> 2002, </w:t>
      </w:r>
      <w:proofErr w:type="spellStart"/>
      <w:r w:rsidR="001A6F73" w:rsidRPr="005D6B73">
        <w:rPr>
          <w:color w:val="000000"/>
        </w:rPr>
        <w:t>Grofman</w:t>
      </w:r>
      <w:proofErr w:type="spellEnd"/>
      <w:r w:rsidR="001A6F73" w:rsidRPr="005D6B73">
        <w:rPr>
          <w:color w:val="000000"/>
        </w:rPr>
        <w:t xml:space="preserve"> 2016).</w:t>
      </w:r>
    </w:p>
    <w:p w14:paraId="3407F941" w14:textId="77777777" w:rsidR="001A6F73" w:rsidRPr="005D6B73" w:rsidRDefault="001A6F73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5D6B73">
        <w:rPr>
          <w:color w:val="000000"/>
        </w:rPr>
        <w:t>2. Volební chování (</w:t>
      </w:r>
      <w:proofErr w:type="spellStart"/>
      <w:r w:rsidRPr="005D6B73">
        <w:rPr>
          <w:color w:val="000000"/>
        </w:rPr>
        <w:t>Evans</w:t>
      </w:r>
      <w:proofErr w:type="spellEnd"/>
      <w:r w:rsidRPr="005D6B73">
        <w:rPr>
          <w:color w:val="000000"/>
        </w:rPr>
        <w:t xml:space="preserve"> 2004, </w:t>
      </w:r>
      <w:proofErr w:type="spellStart"/>
      <w:r w:rsidRPr="005D6B73">
        <w:rPr>
          <w:color w:val="000000"/>
        </w:rPr>
        <w:t>Chytilek</w:t>
      </w:r>
      <w:proofErr w:type="spellEnd"/>
      <w:r w:rsidRPr="005D6B73">
        <w:rPr>
          <w:color w:val="000000"/>
        </w:rPr>
        <w:t xml:space="preserve"> 2016)</w:t>
      </w:r>
    </w:p>
    <w:p w14:paraId="30F1EFD5" w14:textId="77777777" w:rsidR="001A6F73" w:rsidRPr="005D6B73" w:rsidRDefault="001A6F73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5D6B73">
        <w:rPr>
          <w:color w:val="000000"/>
        </w:rPr>
        <w:t xml:space="preserve">3. Volby a volební soutěž (Strmiska et al. 2009, </w:t>
      </w:r>
      <w:proofErr w:type="spellStart"/>
      <w:r w:rsidRPr="005D6B73">
        <w:rPr>
          <w:color w:val="000000"/>
        </w:rPr>
        <w:t>Jarabinský</w:t>
      </w:r>
      <w:proofErr w:type="spellEnd"/>
      <w:r w:rsidRPr="005D6B73">
        <w:rPr>
          <w:color w:val="000000"/>
        </w:rPr>
        <w:t xml:space="preserve"> 2013, Reif 1997, Chytilek 2016).</w:t>
      </w:r>
    </w:p>
    <w:p w14:paraId="4C8A8137" w14:textId="5B9A8F37" w:rsidR="002D550C" w:rsidRPr="005D6B73" w:rsidRDefault="000632BA" w:rsidP="0097397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01F1E"/>
        </w:rPr>
      </w:pPr>
      <w:r w:rsidRPr="005D6B73">
        <w:rPr>
          <w:color w:val="201F1E"/>
          <w:shd w:val="clear" w:color="auto" w:fill="FFFFFF"/>
        </w:rPr>
        <w:t xml:space="preserve">4. </w:t>
      </w:r>
      <w:r w:rsidR="001A6F73" w:rsidRPr="005D6B73">
        <w:rPr>
          <w:color w:val="201F1E"/>
          <w:shd w:val="clear" w:color="auto" w:fill="FFFFFF"/>
        </w:rPr>
        <w:t>Politický marketing a modely demokracie (</w:t>
      </w:r>
      <w:proofErr w:type="spellStart"/>
      <w:r w:rsidR="001A6F73" w:rsidRPr="005D6B73">
        <w:rPr>
          <w:color w:val="201F1E"/>
          <w:shd w:val="clear" w:color="auto" w:fill="FFFFFF"/>
        </w:rPr>
        <w:t>Schumpeter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2004,</w:t>
      </w:r>
      <w:r w:rsidR="001A6F73" w:rsidRPr="005D6B73">
        <w:rPr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6F73" w:rsidRPr="005D6B73">
        <w:rPr>
          <w:color w:val="201F1E"/>
          <w:shd w:val="clear" w:color="auto" w:fill="FFFFFF"/>
        </w:rPr>
        <w:t>Henneberg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2004, </w:t>
      </w:r>
      <w:proofErr w:type="spellStart"/>
      <w:r w:rsidR="001A6F73" w:rsidRPr="005D6B73">
        <w:rPr>
          <w:color w:val="201F1E"/>
          <w:shd w:val="clear" w:color="auto" w:fill="FFFFFF"/>
        </w:rPr>
        <w:t>Henneberg</w:t>
      </w:r>
      <w:proofErr w:type="spellEnd"/>
      <w:r w:rsidR="002D550C" w:rsidRPr="005D6B73">
        <w:rPr>
          <w:color w:val="201F1E"/>
          <w:shd w:val="clear" w:color="auto" w:fill="FFFFFF"/>
        </w:rPr>
        <w:t xml:space="preserve"> –</w:t>
      </w:r>
      <w:r w:rsidR="001A6F73" w:rsidRPr="005D6B73">
        <w:rPr>
          <w:color w:val="201F1E"/>
          <w:shd w:val="clear" w:color="auto" w:fill="FFFFFF"/>
        </w:rPr>
        <w:t xml:space="preserve"> </w:t>
      </w:r>
      <w:proofErr w:type="spellStart"/>
      <w:r w:rsidR="001A6F73" w:rsidRPr="005D6B73">
        <w:rPr>
          <w:color w:val="201F1E"/>
          <w:shd w:val="clear" w:color="auto" w:fill="FFFFFF"/>
        </w:rPr>
        <w:t>Scammell</w:t>
      </w:r>
      <w:proofErr w:type="spellEnd"/>
      <w:r w:rsidR="002D550C" w:rsidRPr="005D6B73">
        <w:rPr>
          <w:color w:val="201F1E"/>
          <w:shd w:val="clear" w:color="auto" w:fill="FFFFFF"/>
        </w:rPr>
        <w:t xml:space="preserve"> -</w:t>
      </w:r>
      <w:r w:rsidR="001A6F73" w:rsidRPr="005D6B73">
        <w:rPr>
          <w:color w:val="201F1E"/>
          <w:shd w:val="clear" w:color="auto" w:fill="FFFFFF"/>
        </w:rPr>
        <w:t xml:space="preserve"> </w:t>
      </w:r>
      <w:proofErr w:type="spellStart"/>
      <w:r w:rsidR="001A6F73" w:rsidRPr="005D6B73">
        <w:rPr>
          <w:color w:val="201F1E"/>
          <w:shd w:val="clear" w:color="auto" w:fill="FFFFFF"/>
        </w:rPr>
        <w:t>O'Shaughnessy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2009, </w:t>
      </w:r>
      <w:proofErr w:type="spellStart"/>
      <w:r w:rsidR="001A6F73" w:rsidRPr="005D6B73">
        <w:rPr>
          <w:color w:val="201F1E"/>
          <w:shd w:val="clear" w:color="auto" w:fill="FFFFFF"/>
        </w:rPr>
        <w:t>Wring</w:t>
      </w:r>
      <w:proofErr w:type="spellEnd"/>
      <w:r w:rsidR="001A6F73" w:rsidRPr="005D6B73">
        <w:rPr>
          <w:color w:val="201F1E"/>
          <w:shd w:val="clear" w:color="auto" w:fill="FFFFFF"/>
        </w:rPr>
        <w:t xml:space="preserve"> 1997)</w:t>
      </w:r>
      <w:r w:rsidR="001A6F73" w:rsidRPr="005D6B73">
        <w:rPr>
          <w:color w:val="201F1E"/>
        </w:rPr>
        <w:br/>
      </w:r>
      <w:r w:rsidRPr="005D6B73">
        <w:rPr>
          <w:color w:val="201F1E"/>
          <w:shd w:val="clear" w:color="auto" w:fill="FFFFFF"/>
        </w:rPr>
        <w:t xml:space="preserve">5. </w:t>
      </w:r>
      <w:r w:rsidR="001A6F73" w:rsidRPr="005D6B73">
        <w:rPr>
          <w:color w:val="201F1E"/>
          <w:shd w:val="clear" w:color="auto" w:fill="FFFFFF"/>
        </w:rPr>
        <w:t>Možný vliv kampaní na voliče (</w:t>
      </w:r>
      <w:proofErr w:type="spellStart"/>
      <w:r w:rsidR="001A6F73" w:rsidRPr="005D6B73">
        <w:rPr>
          <w:color w:val="201F1E"/>
          <w:shd w:val="clear" w:color="auto" w:fill="FFFFFF"/>
        </w:rPr>
        <w:t>Lau</w:t>
      </w:r>
      <w:proofErr w:type="spellEnd"/>
      <w:r w:rsidR="002D550C" w:rsidRPr="005D6B73">
        <w:rPr>
          <w:color w:val="201F1E"/>
          <w:shd w:val="clear" w:color="auto" w:fill="FFFFFF"/>
        </w:rPr>
        <w:t xml:space="preserve"> -</w:t>
      </w:r>
      <w:r w:rsidR="001A6F73" w:rsidRPr="005D6B73">
        <w:rPr>
          <w:color w:val="201F1E"/>
          <w:shd w:val="clear" w:color="auto" w:fill="FFFFFF"/>
        </w:rPr>
        <w:t xml:space="preserve"> </w:t>
      </w:r>
      <w:proofErr w:type="spellStart"/>
      <w:r w:rsidR="001A6F73" w:rsidRPr="005D6B73">
        <w:rPr>
          <w:color w:val="201F1E"/>
          <w:shd w:val="clear" w:color="auto" w:fill="FFFFFF"/>
        </w:rPr>
        <w:t>Redlawsk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2001, Jacobson 2015, </w:t>
      </w:r>
      <w:proofErr w:type="spellStart"/>
      <w:r w:rsidR="001A6F73" w:rsidRPr="005D6B73">
        <w:rPr>
          <w:color w:val="201F1E"/>
          <w:shd w:val="clear" w:color="auto" w:fill="FFFFFF"/>
        </w:rPr>
        <w:t>Lilleker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2014, Walter</w:t>
      </w:r>
      <w:r w:rsidR="002D550C" w:rsidRPr="005D6B73">
        <w:rPr>
          <w:color w:val="201F1E"/>
          <w:shd w:val="clear" w:color="auto" w:fill="FFFFFF"/>
        </w:rPr>
        <w:t xml:space="preserve"> -</w:t>
      </w:r>
      <w:r w:rsidR="001A6F73" w:rsidRPr="005D6B73">
        <w:rPr>
          <w:color w:val="201F1E"/>
          <w:shd w:val="clear" w:color="auto" w:fill="FFFFFF"/>
        </w:rPr>
        <w:t xml:space="preserve"> </w:t>
      </w:r>
      <w:proofErr w:type="spellStart"/>
      <w:r w:rsidR="001A6F73" w:rsidRPr="005D6B73">
        <w:rPr>
          <w:color w:val="201F1E"/>
          <w:shd w:val="clear" w:color="auto" w:fill="FFFFFF"/>
        </w:rPr>
        <w:t>Nai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2016, </w:t>
      </w:r>
      <w:proofErr w:type="spellStart"/>
      <w:r w:rsidR="001A6F73" w:rsidRPr="005D6B73">
        <w:rPr>
          <w:color w:val="201F1E"/>
          <w:shd w:val="clear" w:color="auto" w:fill="FFFFFF"/>
        </w:rPr>
        <w:t>Needham</w:t>
      </w:r>
      <w:proofErr w:type="spellEnd"/>
      <w:r w:rsidR="001A6F73" w:rsidRPr="005D6B73">
        <w:rPr>
          <w:color w:val="201F1E"/>
          <w:shd w:val="clear" w:color="auto" w:fill="FFFFFF"/>
        </w:rPr>
        <w:t xml:space="preserve"> 2005)</w:t>
      </w:r>
      <w:r w:rsidR="001A6F73" w:rsidRPr="005D6B73">
        <w:rPr>
          <w:color w:val="201F1E"/>
        </w:rPr>
        <w:br/>
      </w:r>
      <w:r w:rsidRPr="005D6B73">
        <w:rPr>
          <w:color w:val="201F1E"/>
        </w:rPr>
        <w:t xml:space="preserve">6. </w:t>
      </w:r>
      <w:r w:rsidR="002D550C" w:rsidRPr="005D6B73">
        <w:rPr>
          <w:color w:val="201F1E"/>
        </w:rPr>
        <w:t>Politický trh a sdělení (</w:t>
      </w:r>
      <w:proofErr w:type="spellStart"/>
      <w:r w:rsidR="002D550C" w:rsidRPr="005D6B73">
        <w:rPr>
          <w:color w:val="201F1E"/>
        </w:rPr>
        <w:t>Baines</w:t>
      </w:r>
      <w:proofErr w:type="spellEnd"/>
      <w:r w:rsidR="002D550C" w:rsidRPr="005D6B73">
        <w:rPr>
          <w:color w:val="201F1E"/>
        </w:rPr>
        <w:t xml:space="preserve"> 2011, Brtník 2012, </w:t>
      </w:r>
      <w:proofErr w:type="spellStart"/>
      <w:r w:rsidR="002D550C" w:rsidRPr="005D6B73">
        <w:rPr>
          <w:color w:val="201F1E"/>
        </w:rPr>
        <w:t>Ormrod</w:t>
      </w:r>
      <w:proofErr w:type="spellEnd"/>
      <w:r w:rsidR="002D550C" w:rsidRPr="005D6B73">
        <w:rPr>
          <w:color w:val="201F1E"/>
        </w:rPr>
        <w:t xml:space="preserve"> 2015)</w:t>
      </w:r>
    </w:p>
    <w:p w14:paraId="788BF5B7" w14:textId="3832DDC4" w:rsidR="002D550C" w:rsidRPr="005D6B73" w:rsidRDefault="000632BA" w:rsidP="0097397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01F1E"/>
        </w:rPr>
      </w:pPr>
      <w:r w:rsidRPr="005D6B73">
        <w:rPr>
          <w:color w:val="201F1E"/>
        </w:rPr>
        <w:t xml:space="preserve">7. </w:t>
      </w:r>
      <w:r w:rsidR="002D550C" w:rsidRPr="005D6B73">
        <w:rPr>
          <w:color w:val="201F1E"/>
        </w:rPr>
        <w:t>Strategie, taktiky a nástroje volebních kampaní (</w:t>
      </w:r>
      <w:proofErr w:type="spellStart"/>
      <w:r w:rsidR="002D550C" w:rsidRPr="005D6B73">
        <w:rPr>
          <w:color w:val="201F1E"/>
        </w:rPr>
        <w:t>Daniels</w:t>
      </w:r>
      <w:proofErr w:type="spellEnd"/>
      <w:r w:rsidR="002D550C" w:rsidRPr="005D6B73">
        <w:rPr>
          <w:color w:val="201F1E"/>
        </w:rPr>
        <w:t xml:space="preserve"> 2011, </w:t>
      </w:r>
      <w:proofErr w:type="spellStart"/>
      <w:r w:rsidR="002D550C" w:rsidRPr="005D6B73">
        <w:rPr>
          <w:color w:val="201F1E"/>
        </w:rPr>
        <w:t>Maarek</w:t>
      </w:r>
      <w:proofErr w:type="spellEnd"/>
      <w:r w:rsidR="002D550C" w:rsidRPr="005D6B73">
        <w:rPr>
          <w:color w:val="201F1E"/>
        </w:rPr>
        <w:t xml:space="preserve"> 2011, </w:t>
      </w:r>
      <w:r w:rsidR="002D550C" w:rsidRPr="005D6B73">
        <w:rPr>
          <w:rStyle w:val="mark3k5kqi848"/>
          <w:color w:val="201F1E"/>
          <w:bdr w:val="none" w:sz="0" w:space="0" w:color="auto" w:frame="1"/>
        </w:rPr>
        <w:t>Gregor</w:t>
      </w:r>
      <w:r w:rsidR="002D550C" w:rsidRPr="005D6B73">
        <w:rPr>
          <w:color w:val="201F1E"/>
        </w:rPr>
        <w:t xml:space="preserve"> 2012, </w:t>
      </w:r>
      <w:proofErr w:type="spellStart"/>
      <w:r w:rsidR="002D550C" w:rsidRPr="005D6B73">
        <w:rPr>
          <w:color w:val="201F1E"/>
        </w:rPr>
        <w:t>Králiková</w:t>
      </w:r>
      <w:proofErr w:type="spellEnd"/>
      <w:r w:rsidR="002D550C" w:rsidRPr="005D6B73">
        <w:rPr>
          <w:color w:val="201F1E"/>
        </w:rPr>
        <w:t xml:space="preserve"> 2012, </w:t>
      </w:r>
      <w:r w:rsidR="002D550C" w:rsidRPr="00CE3309">
        <w:rPr>
          <w:color w:val="201F1E"/>
        </w:rPr>
        <w:t xml:space="preserve">Pavlová </w:t>
      </w:r>
      <w:r w:rsidR="00C36D94" w:rsidRPr="00CE3309">
        <w:rPr>
          <w:color w:val="201F1E"/>
        </w:rPr>
        <w:t>– Matušková</w:t>
      </w:r>
      <w:r w:rsidR="00C36D94">
        <w:rPr>
          <w:color w:val="201F1E"/>
        </w:rPr>
        <w:t xml:space="preserve"> </w:t>
      </w:r>
      <w:r w:rsidR="002D550C" w:rsidRPr="005D6B73">
        <w:rPr>
          <w:color w:val="201F1E"/>
        </w:rPr>
        <w:t>2012)</w:t>
      </w:r>
    </w:p>
    <w:p w14:paraId="2C5E6C69" w14:textId="4C71F27A" w:rsidR="00306A0A" w:rsidRDefault="00306A0A" w:rsidP="00306A0A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8. </w:t>
      </w:r>
      <w:r w:rsidR="00631D2B" w:rsidRPr="005D6B73">
        <w:rPr>
          <w:color w:val="000000"/>
        </w:rPr>
        <w:t>Základní rozložení volební podpory v českých zemích</w:t>
      </w:r>
      <w:r w:rsidR="00631D2B">
        <w:rPr>
          <w:color w:val="000000"/>
        </w:rPr>
        <w:t xml:space="preserve"> a na Slovensku </w:t>
      </w:r>
      <w:r>
        <w:rPr>
          <w:color w:val="000000"/>
        </w:rPr>
        <w:t>(</w:t>
      </w:r>
      <w:r w:rsidRPr="00CE3309">
        <w:rPr>
          <w:color w:val="000000"/>
        </w:rPr>
        <w:t>Pink et al.</w:t>
      </w:r>
      <w:r>
        <w:rPr>
          <w:color w:val="000000"/>
        </w:rPr>
        <w:t xml:space="preserve"> 2012, Šimon 2015) </w:t>
      </w:r>
    </w:p>
    <w:p w14:paraId="3D71C698" w14:textId="71B86D33" w:rsidR="00306A0A" w:rsidRDefault="00306A0A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9. </w:t>
      </w:r>
      <w:r w:rsidR="000632BA" w:rsidRPr="005D6B73">
        <w:rPr>
          <w:color w:val="000000"/>
        </w:rPr>
        <w:t xml:space="preserve">Senátní volby – </w:t>
      </w:r>
      <w:r w:rsidR="00163A82">
        <w:rPr>
          <w:color w:val="000000"/>
        </w:rPr>
        <w:t xml:space="preserve">determinanty úspěchu jednotlivých kandidátů </w:t>
      </w:r>
      <w:r>
        <w:rPr>
          <w:color w:val="000000"/>
        </w:rPr>
        <w:t>(Pink 2018)</w:t>
      </w:r>
    </w:p>
    <w:p w14:paraId="50DC95E0" w14:textId="3E4DAB64" w:rsidR="00D70A29" w:rsidRDefault="00306A0A" w:rsidP="00973973">
      <w:pPr>
        <w:pStyle w:val="Normln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10. </w:t>
      </w:r>
      <w:r w:rsidR="000632BA" w:rsidRPr="005D6B73">
        <w:rPr>
          <w:color w:val="000000"/>
        </w:rPr>
        <w:t xml:space="preserve">Krajské volby – </w:t>
      </w:r>
      <w:r w:rsidR="0052338D">
        <w:rPr>
          <w:color w:val="000000"/>
        </w:rPr>
        <w:t xml:space="preserve">elementární pravidla voličské přízně </w:t>
      </w:r>
      <w:r>
        <w:rPr>
          <w:color w:val="000000"/>
        </w:rPr>
        <w:t>(Pink</w:t>
      </w:r>
      <w:r w:rsidR="00A927C2">
        <w:rPr>
          <w:color w:val="000000"/>
        </w:rPr>
        <w:t xml:space="preserve"> </w:t>
      </w:r>
      <w:r w:rsidR="00CE3309" w:rsidRPr="004B4918">
        <w:t>–</w:t>
      </w:r>
      <w:r>
        <w:rPr>
          <w:color w:val="000000"/>
        </w:rPr>
        <w:t xml:space="preserve"> Eibl 2018)</w:t>
      </w:r>
    </w:p>
    <w:p w14:paraId="4F903752" w14:textId="77777777" w:rsidR="0023781E" w:rsidRDefault="0023781E" w:rsidP="00483A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5DB59" w14:textId="2681A250" w:rsidR="00483A47" w:rsidRPr="004744B9" w:rsidRDefault="001A6F73" w:rsidP="00483A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3309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2BFF2F09" w14:textId="19EB310F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>Baines, P. R. (2011): Marketing the Political Message: American Influences on British Practices. In Baines, P.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R. (ed.).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Political Marketing.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Vol. III. London: SAGE Publications, s. 111-133. </w:t>
      </w:r>
    </w:p>
    <w:p w14:paraId="77BC2EF4" w14:textId="511A2A68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Brtník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R. (2012):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Koncept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a role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trhu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. In Chytilek, R. – Eibl, O.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Matušková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(eds.).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Teorie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metody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marketingu</w:t>
      </w:r>
      <w:proofErr w:type="spellEnd"/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129-151.</w:t>
      </w:r>
    </w:p>
    <w:p w14:paraId="096239CF" w14:textId="311F278C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>Daniels, S. (2011): Long-Term Strategy in Local Elections. In Bowers, J.</w:t>
      </w:r>
      <w:r w:rsidR="0052338B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R.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Daniels, S. (eds).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Inside Political Campaigns. Chronicles –</w:t>
      </w:r>
      <w:r w:rsidR="004B4918"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and Lessons</w:t>
      </w:r>
      <w:r w:rsidR="004B4918"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– from the Trenches.</w:t>
      </w:r>
      <w:r w:rsidR="0052338B"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London: Lynne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Ripener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Publishing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33-56.</w:t>
      </w:r>
    </w:p>
    <w:p w14:paraId="185074B9" w14:textId="77777777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Evans, J. A. (2004):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Voters and Voting. An Introduction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. London: SAGE, s. 19-33.</w:t>
      </w:r>
    </w:p>
    <w:p w14:paraId="619A8B5C" w14:textId="14C614FA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Gregor, M. (2012):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Politická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reklama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. In: Chytilek, R.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Eibl, O.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Matušková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A. (eds.).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Teorie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metody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marketingu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>. Brno: CDK, s. 178-194.</w:t>
      </w:r>
    </w:p>
    <w:p w14:paraId="00E1446F" w14:textId="7785413D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Grofman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B. (2016): Perspectives on the Comparative Study of Electoral Systems.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Annual Review of Political Science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19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(1),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523-540.</w:t>
      </w:r>
    </w:p>
    <w:p w14:paraId="5D0AFB0A" w14:textId="29F60243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Henneberg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S. (2004): The views of an advocatus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dei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: Political marketing and its critics.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Journal of Public Affairs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4(3)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225-243.</w:t>
      </w:r>
    </w:p>
    <w:p w14:paraId="094D88A0" w14:textId="6F857202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Henneberg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S. C.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Scammell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 M. 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O'Shaughnessy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 N. J.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(2009): Political marketing management and theories of democracy.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Marketing Theory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9(2)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165-188.</w:t>
      </w:r>
    </w:p>
    <w:p w14:paraId="7E7F26D5" w14:textId="5D2B8E28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Chytilek, R. – Šedo, J. –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Lebeda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T. –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Čaloud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D. (2009).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systémy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Praha: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Portál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s. 20–48, 116-166, 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187 – 257.</w:t>
      </w:r>
    </w:p>
    <w:p w14:paraId="6F01A8DF" w14:textId="6F1BE7AD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Chytilek, R. (2016): Can (Inter-Party) Politics Disappear?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Sociální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studia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13(1)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23-44.</w:t>
      </w:r>
    </w:p>
    <w:p w14:paraId="2DB857A4" w14:textId="70A2A08C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lastRenderedPageBreak/>
        <w:t>Jacobson, G</w:t>
      </w:r>
      <w:r w:rsidR="00855851" w:rsidRPr="004744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C. (2015): How do campaigns matter?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Annual Review of Political Science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18(1)</w:t>
      </w:r>
      <w:r w:rsidR="00CE3309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31–47. </w:t>
      </w:r>
    </w:p>
    <w:p w14:paraId="14070652" w14:textId="1501EE9F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Jarabinský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I. (2013):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Diskuse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nad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povahou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volebního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podvodu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Evropská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studia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8(1)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37-45.</w:t>
      </w:r>
    </w:p>
    <w:p w14:paraId="6C8A4629" w14:textId="1AEDAF07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Králiková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M. (2012):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Vybrané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nástroje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marketingu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. In Chytilek, R. – Eibl, O –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Matušková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(eds.).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Teorie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metody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marketingu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Brno: CDK,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s. 108-128.</w:t>
      </w:r>
    </w:p>
    <w:p w14:paraId="0FB292F3" w14:textId="25827B78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Lau, R. -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Redlawsk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>, D. (2001): Advantages and disadvantages of cognitive heuristics in political decision making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. American Journal of Political Science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45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(4),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951-971.</w:t>
      </w:r>
    </w:p>
    <w:p w14:paraId="50BC3816" w14:textId="2189FCFC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Lilleker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D. (2014):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Political Communication and Cognition.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Basingstoke: Palgrave Macmillan</w:t>
      </w:r>
      <w:r w:rsidR="0052338B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47-99, 115-133.</w:t>
      </w:r>
    </w:p>
    <w:p w14:paraId="5FC08C97" w14:textId="016CCD72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Maarek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P. J. (2011):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Campaign Communication &amp; Political Marketing.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Oxford: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Wiley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Blackwell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91-157.</w:t>
      </w:r>
    </w:p>
    <w:p w14:paraId="78DE6C92" w14:textId="4ACECCB5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Needham, C. (2005): Brand leaders: Clinton, Blair and the limitations of the permanent campaign.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Political Studies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53(2)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343-361.</w:t>
      </w:r>
    </w:p>
    <w:p w14:paraId="07F81694" w14:textId="45AA572C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Ormrod, R. P. (2015):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Defining </w:t>
      </w:r>
      <w:r w:rsidR="00483A47" w:rsidRPr="004744B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he Stakeholder Concept for Political Marketing.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Working paper.</w:t>
      </w:r>
    </w:p>
    <w:p w14:paraId="5386D0DB" w14:textId="7AC18355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Pavlová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E. -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Matušková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(2012):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Volební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strategie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kampaně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>. In Chytilek, R. – Eibl, O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. 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Matušková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(eds.).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Teorie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metody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politického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marketingu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Brno: CDK,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152-177.</w:t>
      </w:r>
    </w:p>
    <w:p w14:paraId="76073806" w14:textId="71697AF6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Pink, M. 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Eibl, O. 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Havlík, V. 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Madleňák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T. 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Spáč, P. – Voda, P. (2012):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mapy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České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Slovenské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republiky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po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roce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1993: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vzorce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trendy,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proměny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Brno: CDK.</w:t>
      </w:r>
      <w:r w:rsidR="00C17E5B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17 – 88. </w:t>
      </w:r>
    </w:p>
    <w:p w14:paraId="0DFD2F8D" w14:textId="32DF1A63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Pink, M. - Eibl, O. (2018): The 2016 Czech Regional Elections: without real regional parties or voters' interest.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Regional and Federal Studies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28(3)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353-365. </w:t>
      </w:r>
    </w:p>
    <w:p w14:paraId="4515E0F4" w14:textId="0D9B4F26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Pink, M. (2018):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Teritoriální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homogenita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heterogenita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českých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senátních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voleb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1996 – 2016.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Brno: CDK. </w:t>
      </w:r>
      <w:r w:rsidR="00C17E5B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s. 59. – 131. </w:t>
      </w:r>
    </w:p>
    <w:p w14:paraId="7363DB56" w14:textId="24DD76AE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Reif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K. (1997): European elections as member state second-order elections revisited. </w:t>
      </w:r>
      <w:r w:rsidR="00483A47" w:rsidRPr="004744B9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uropean Journal of Political Research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31(1)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115-124.</w:t>
      </w:r>
    </w:p>
    <w:p w14:paraId="58E26542" w14:textId="1BA343C1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>Shugart, M. S. (2002): „</w:t>
      </w:r>
      <w:proofErr w:type="gramStart"/>
      <w:r w:rsidRPr="004744B9">
        <w:rPr>
          <w:rFonts w:ascii="Times New Roman" w:hAnsi="Times New Roman" w:cs="Times New Roman"/>
          <w:sz w:val="24"/>
          <w:szCs w:val="24"/>
          <w:lang w:val="en-GB"/>
        </w:rPr>
        <w:t>Extreme“ Electoral</w:t>
      </w:r>
      <w:proofErr w:type="gram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Systems and the Appeal of the Mixed-Member Alternative. In Shugart, M. S. – Wattenberg, M. (eds.).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Mixed-Member Electoral Systems: </w:t>
      </w:r>
      <w:r w:rsidR="00483A47" w:rsidRPr="004744B9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he Best of Both Worlds?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New York: Oxford University Press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25-51.</w:t>
      </w:r>
    </w:p>
    <w:p w14:paraId="005367ED" w14:textId="2D5857EB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Schumpeter, J. (2004):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Kapitalismus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socialismus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demokracie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Brno: CDK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kapitoly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XXI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-XXIII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.),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268-320.</w:t>
      </w:r>
    </w:p>
    <w:p w14:paraId="1AC6A580" w14:textId="57AE7C0D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Strmiska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M. – Chytilek, R. – Šedo, J. – Eibl, O. (2009):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komplexy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zemí</w:t>
      </w:r>
      <w:proofErr w:type="spellEnd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V4.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Brno: CDK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32-40.</w:t>
      </w:r>
    </w:p>
    <w:p w14:paraId="51C7CE08" w14:textId="69578FD7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Šimon, M. (2015): Measuring phantom borders: the case of Czech/Czechoslovakian electoral geography. </w:t>
      </w:r>
      <w:proofErr w:type="spellStart"/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Erdkunde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69(2)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139–150.</w:t>
      </w:r>
    </w:p>
    <w:p w14:paraId="7937E969" w14:textId="4DEBA2C3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Walter, A. </w:t>
      </w:r>
      <w:r w:rsidR="00FC3151"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Nai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(2016): Explaining the Use of Attack Behaviour in the Electoral Battlefield: A Literature Overview. In </w:t>
      </w:r>
      <w:proofErr w:type="spellStart"/>
      <w:r w:rsidRPr="004744B9">
        <w:rPr>
          <w:rFonts w:ascii="Times New Roman" w:hAnsi="Times New Roman" w:cs="Times New Roman"/>
          <w:sz w:val="24"/>
          <w:szCs w:val="24"/>
          <w:lang w:val="en-GB"/>
        </w:rPr>
        <w:t>Nai</w:t>
      </w:r>
      <w:proofErr w:type="spellEnd"/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="00D70DF4" w:rsidRPr="004744B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Walter, A. (eds.).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New Perspectives on Negative Campaigning.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Colches</w:t>
      </w:r>
      <w:r w:rsidR="00D70DF4" w:rsidRPr="004744B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>er: ECPR Press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97-114.</w:t>
      </w:r>
    </w:p>
    <w:p w14:paraId="71025F8C" w14:textId="173CFE0F" w:rsidR="00D02813" w:rsidRPr="004744B9" w:rsidRDefault="00D02813" w:rsidP="004744B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Wring, D. (1997): Reconciling Marketing with Political Science: Theories of Political Marketing. </w:t>
      </w:r>
      <w:r w:rsidRPr="004744B9">
        <w:rPr>
          <w:rFonts w:ascii="Times New Roman" w:hAnsi="Times New Roman" w:cs="Times New Roman"/>
          <w:i/>
          <w:sz w:val="24"/>
          <w:szCs w:val="24"/>
          <w:lang w:val="en-GB"/>
        </w:rPr>
        <w:t>Journal of Marketing Management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13(7)</w:t>
      </w:r>
      <w:r w:rsidR="00483A47" w:rsidRPr="004744B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744B9">
        <w:rPr>
          <w:rFonts w:ascii="Times New Roman" w:hAnsi="Times New Roman" w:cs="Times New Roman"/>
          <w:sz w:val="24"/>
          <w:szCs w:val="24"/>
          <w:lang w:val="en-GB"/>
        </w:rPr>
        <w:t xml:space="preserve"> s. 651–663.</w:t>
      </w:r>
    </w:p>
    <w:p w14:paraId="12D5BBC9" w14:textId="77777777" w:rsidR="00F004A5" w:rsidRPr="005D6B73" w:rsidRDefault="00F004A5" w:rsidP="00973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04A5" w:rsidRPr="005D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B6F46"/>
    <w:multiLevelType w:val="hybridMultilevel"/>
    <w:tmpl w:val="5118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LcwsjQyMzE1NTNW0lEKTi0uzszPAykwqgUAKBNlMywAAAA="/>
  </w:docVars>
  <w:rsids>
    <w:rsidRoot w:val="001A6F73"/>
    <w:rsid w:val="000632BA"/>
    <w:rsid w:val="00086D90"/>
    <w:rsid w:val="00110A29"/>
    <w:rsid w:val="00163A82"/>
    <w:rsid w:val="00177D48"/>
    <w:rsid w:val="00196B4E"/>
    <w:rsid w:val="001A6F73"/>
    <w:rsid w:val="0022448C"/>
    <w:rsid w:val="0023781E"/>
    <w:rsid w:val="00292D98"/>
    <w:rsid w:val="002B7005"/>
    <w:rsid w:val="002D550C"/>
    <w:rsid w:val="00306A0A"/>
    <w:rsid w:val="00313785"/>
    <w:rsid w:val="00386FC2"/>
    <w:rsid w:val="003A4364"/>
    <w:rsid w:val="004744B9"/>
    <w:rsid w:val="00483A47"/>
    <w:rsid w:val="004A52A6"/>
    <w:rsid w:val="004B4918"/>
    <w:rsid w:val="0052338B"/>
    <w:rsid w:val="0052338D"/>
    <w:rsid w:val="00552044"/>
    <w:rsid w:val="00565867"/>
    <w:rsid w:val="00574D14"/>
    <w:rsid w:val="005D6B73"/>
    <w:rsid w:val="00631D2B"/>
    <w:rsid w:val="0064482F"/>
    <w:rsid w:val="007474E7"/>
    <w:rsid w:val="0077611B"/>
    <w:rsid w:val="007821A9"/>
    <w:rsid w:val="007C0996"/>
    <w:rsid w:val="007D373A"/>
    <w:rsid w:val="007F48A1"/>
    <w:rsid w:val="0080647E"/>
    <w:rsid w:val="00855851"/>
    <w:rsid w:val="00910CAA"/>
    <w:rsid w:val="00916FF1"/>
    <w:rsid w:val="00947408"/>
    <w:rsid w:val="00973973"/>
    <w:rsid w:val="00A927C2"/>
    <w:rsid w:val="00AA0D34"/>
    <w:rsid w:val="00AF7D5F"/>
    <w:rsid w:val="00B7600B"/>
    <w:rsid w:val="00C10856"/>
    <w:rsid w:val="00C17E5B"/>
    <w:rsid w:val="00C36D94"/>
    <w:rsid w:val="00CE3309"/>
    <w:rsid w:val="00D02813"/>
    <w:rsid w:val="00D70A29"/>
    <w:rsid w:val="00D70DF4"/>
    <w:rsid w:val="00D92B5A"/>
    <w:rsid w:val="00D93694"/>
    <w:rsid w:val="00F004A5"/>
    <w:rsid w:val="00FC3151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01A"/>
  <w15:chartTrackingRefBased/>
  <w15:docId w15:val="{A7510FD1-24D9-4022-B57E-5798D7B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0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3k5kqi848">
    <w:name w:val="mark3k5kqi848"/>
    <w:basedOn w:val="Standardnpsmoodstavce"/>
    <w:rsid w:val="002D550C"/>
  </w:style>
  <w:style w:type="character" w:customStyle="1" w:styleId="Nadpis1Char">
    <w:name w:val="Nadpis 1 Char"/>
    <w:basedOn w:val="Standardnpsmoodstavce"/>
    <w:link w:val="Nadpis1"/>
    <w:uiPriority w:val="9"/>
    <w:rsid w:val="00D70A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FE7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7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12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Otto Eibl</cp:lastModifiedBy>
  <cp:revision>3</cp:revision>
  <cp:lastPrinted>2020-09-24T20:29:00Z</cp:lastPrinted>
  <dcterms:created xsi:type="dcterms:W3CDTF">2020-09-30T21:14:00Z</dcterms:created>
  <dcterms:modified xsi:type="dcterms:W3CDTF">2020-09-30T21:14:00Z</dcterms:modified>
</cp:coreProperties>
</file>